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E4272" w14:textId="77777777" w:rsidR="00B76555" w:rsidRPr="00B76555" w:rsidRDefault="00B76555" w:rsidP="00B76555">
      <w:pPr>
        <w:spacing w:after="0" w:line="360" w:lineRule="auto"/>
        <w:jc w:val="center"/>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3. ЖЕР БЕТІ СУЛАРЫН АҒЫЗУ ЖҮЙЕСІН ЖОБАЛАУ.</w:t>
      </w:r>
    </w:p>
    <w:p w14:paraId="3ED80161" w14:textId="77777777" w:rsidR="00B76555" w:rsidRPr="00B76555" w:rsidRDefault="00B76555" w:rsidP="00B76555">
      <w:pPr>
        <w:spacing w:after="0" w:line="240" w:lineRule="auto"/>
        <w:jc w:val="center"/>
        <w:rPr>
          <w:rFonts w:ascii="Times New Roman" w:eastAsia="Times New Roman" w:hAnsi="Times New Roman" w:cs="Times New Roman"/>
          <w:color w:val="000000"/>
          <w:sz w:val="28"/>
          <w:szCs w:val="28"/>
          <w:lang w:val="kk-KZ" w:eastAsia="ru-RU"/>
        </w:rPr>
      </w:pPr>
    </w:p>
    <w:p w14:paraId="7FB9CAB7" w14:textId="77777777" w:rsidR="00B76555" w:rsidRPr="00B76555" w:rsidRDefault="00B76555" w:rsidP="00B76555">
      <w:pPr>
        <w:spacing w:after="0" w:line="360" w:lineRule="auto"/>
        <w:jc w:val="center"/>
        <w:rPr>
          <w:rFonts w:ascii="Times New Roman" w:eastAsia="Times New Roman" w:hAnsi="Times New Roman" w:cs="Times New Roman"/>
          <w:b/>
          <w:color w:val="000000"/>
          <w:sz w:val="28"/>
          <w:szCs w:val="28"/>
          <w:lang w:val="kk-KZ" w:eastAsia="ru-RU"/>
        </w:rPr>
      </w:pPr>
      <w:r w:rsidRPr="00B76555">
        <w:rPr>
          <w:rFonts w:ascii="Times New Roman" w:eastAsia="Times New Roman" w:hAnsi="Times New Roman" w:cs="Times New Roman"/>
          <w:b/>
          <w:color w:val="000000"/>
          <w:sz w:val="28"/>
          <w:szCs w:val="28"/>
          <w:lang w:val="kk-KZ" w:eastAsia="ru-RU"/>
        </w:rPr>
        <w:t>3.1  Тігінен жоспарлаулар, жол арықтары, резервтер мен буландырғыш бассейіндер, су сіңіргіш құдықтар.</w:t>
      </w:r>
    </w:p>
    <w:p w14:paraId="15A2BE93" w14:textId="77777777" w:rsidR="00B76555" w:rsidRPr="00B76555" w:rsidRDefault="00B76555" w:rsidP="00B76555">
      <w:pPr>
        <w:spacing w:after="0" w:line="240" w:lineRule="auto"/>
        <w:jc w:val="center"/>
        <w:rPr>
          <w:rFonts w:ascii="Times New Roman" w:eastAsia="Times New Roman" w:hAnsi="Times New Roman" w:cs="Times New Roman"/>
          <w:b/>
          <w:color w:val="000000"/>
          <w:sz w:val="28"/>
          <w:szCs w:val="28"/>
          <w:lang w:val="kk-KZ" w:eastAsia="ru-RU"/>
        </w:rPr>
      </w:pPr>
    </w:p>
    <w:p w14:paraId="1F75DD0E"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     Жолды пайдалануға климаттық шарттар көп ықпал етеді. Оған амплитуда және температураның жылдам тербелісі, максималды және минималды температура,  жауын-шашын және булану, желдің жылдамдығы мен бағыты, қар жамылғысының қуаттылығы, тоңазу тереңдігі жатады. Бұл аталған факторларды жер төсемесін жобалау барысында ескеру қажеттілігі туындайды. Климаттық шарттар құрылыс мерзімінің ұзақтығын шектеп, өндіріс жұмыстарының әдістерінің орындалуын күрделендіреді.</w:t>
      </w:r>
    </w:p>
    <w:p w14:paraId="07AE18CA"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Жолдардағы жер полотнасының ылғалдығы – қауіпті құбылыс, себебі жол жамылғысының беріктігі және ойық еңістерінің тұрақтылығы төмендейді. Негіздердегі жер төсемесі ылғалдығының алдын алу міндетінің тым күрделігі,  су жер төсемесіне екі жолмен – үстіңгі қабат және бу түрінде капеллярлы көтеріледі, негіз су деңгейі бойынша енеді.</w:t>
      </w:r>
    </w:p>
    <w:p w14:paraId="3CF9A16D"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      Жаңбыр тамшылары жер үсітнен, біртіндеп тереңге қарай еніп,  суөткізбейтін қабаттарға жиналу арқылы негіздегі бу сілтісін құрайды. Мұндай түрде құралған негіз сулары, суөткізбейтін қабаттың  төменгі бөлігін осылайша толтыру, кейбір кезеңдерде жергілікті жердегі жұмсарған рельеф көшірмесін сипаттайды. Негіз суларының деңгейі жыра арқылы көтеріледі және жазық бойынша біртіндеп төмендейді.</w:t>
      </w:r>
    </w:p>
    <w:p w14:paraId="4FB2943C"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p>
    <w:p w14:paraId="10EDA023" w14:textId="77777777" w:rsidR="00B76555" w:rsidRPr="00B76555" w:rsidRDefault="00B76555" w:rsidP="00B76555">
      <w:pPr>
        <w:spacing w:after="0" w:line="360" w:lineRule="auto"/>
        <w:jc w:val="center"/>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14</w:t>
      </w:r>
    </w:p>
    <w:p w14:paraId="07250622" w14:textId="77777777" w:rsidR="00B76555" w:rsidRPr="00B76555" w:rsidRDefault="00B76555" w:rsidP="00B76555">
      <w:pPr>
        <w:spacing w:after="0" w:line="240" w:lineRule="auto"/>
        <w:jc w:val="both"/>
        <w:rPr>
          <w:rFonts w:ascii="Times New Roman" w:eastAsia="Times New Roman" w:hAnsi="Times New Roman" w:cs="Times New Roman"/>
          <w:color w:val="000000"/>
          <w:sz w:val="28"/>
          <w:szCs w:val="28"/>
          <w:lang w:val="kk-KZ" w:eastAsia="ru-RU"/>
        </w:rPr>
      </w:pPr>
    </w:p>
    <w:p w14:paraId="3268E84C"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  Жергілікті жердегі, яғни негіз суларының үстіңгі қабатындағы жерлер, қайнарлар немесе батпақтар түзеді. Бұл жерлердегі негіз суларының деңгейі 120м.</w:t>
      </w:r>
    </w:p>
    <w:p w14:paraId="7DA469F2"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Осылайша, жер төсемесі ылғалдылығының бастапқы көзіне келесілер жатады:  түскен жауын-шашындар, жаңбырдан аққан су және жергілікті жердегі иілу </w:t>
      </w:r>
      <w:r w:rsidRPr="00B76555">
        <w:rPr>
          <w:rFonts w:ascii="Times New Roman" w:eastAsia="Times New Roman" w:hAnsi="Times New Roman" w:cs="Times New Roman"/>
          <w:color w:val="000000"/>
          <w:sz w:val="28"/>
          <w:szCs w:val="28"/>
          <w:lang w:val="kk-KZ" w:eastAsia="ru-RU"/>
        </w:rPr>
        <w:lastRenderedPageBreak/>
        <w:t>себебінен  қардың еруі, негіздегі сулар деңгейінің капиллярлы артуы, ауадағы су буларының конденсациясы және негіз бөліктерінің үстіңгі қабатындағы  қабыршықты ылғалданудың орын ауысуы.</w:t>
      </w:r>
    </w:p>
    <w:p w14:paraId="27816DEA" w14:textId="77777777" w:rsidR="00B76555" w:rsidRPr="00B76555" w:rsidRDefault="00B76555" w:rsidP="00B76555">
      <w:pPr>
        <w:spacing w:after="0" w:line="240" w:lineRule="auto"/>
        <w:jc w:val="both"/>
        <w:rPr>
          <w:rFonts w:ascii="Times New Roman" w:eastAsia="Times New Roman" w:hAnsi="Times New Roman" w:cs="Times New Roman"/>
          <w:color w:val="000000"/>
          <w:sz w:val="28"/>
          <w:szCs w:val="28"/>
          <w:lang w:val="kk-KZ" w:eastAsia="ru-RU"/>
        </w:rPr>
      </w:pPr>
    </w:p>
    <w:p w14:paraId="2B626D5F" w14:textId="77777777" w:rsidR="00B76555" w:rsidRPr="00B76555" w:rsidRDefault="00B76555" w:rsidP="00B76555">
      <w:pPr>
        <w:spacing w:after="0" w:line="360" w:lineRule="auto"/>
        <w:jc w:val="both"/>
        <w:rPr>
          <w:rFonts w:ascii="Times New Roman" w:eastAsia="Times New Roman" w:hAnsi="Times New Roman" w:cs="Times New Roman"/>
          <w:b/>
          <w:color w:val="000000"/>
          <w:sz w:val="28"/>
          <w:szCs w:val="28"/>
          <w:lang w:val="kk-KZ" w:eastAsia="ru-RU"/>
        </w:rPr>
      </w:pPr>
      <w:r w:rsidRPr="00B76555">
        <w:rPr>
          <w:rFonts w:ascii="Times New Roman" w:eastAsia="Times New Roman" w:hAnsi="Times New Roman" w:cs="Times New Roman"/>
          <w:b/>
          <w:color w:val="000000"/>
          <w:sz w:val="28"/>
          <w:szCs w:val="28"/>
          <w:lang w:val="kk-KZ" w:eastAsia="ru-RU"/>
        </w:rPr>
        <w:t>3.2 Жер төсемесінің ылғалдану тәртібі мен топырақтарының орналасуы.</w:t>
      </w:r>
    </w:p>
    <w:p w14:paraId="7A0A944C" w14:textId="77777777" w:rsidR="00B76555" w:rsidRPr="00B76555" w:rsidRDefault="00B76555" w:rsidP="00B76555">
      <w:pPr>
        <w:spacing w:after="0" w:line="240" w:lineRule="auto"/>
        <w:jc w:val="both"/>
        <w:rPr>
          <w:rFonts w:ascii="Times New Roman" w:eastAsia="Times New Roman" w:hAnsi="Times New Roman" w:cs="Times New Roman"/>
          <w:color w:val="000000"/>
          <w:sz w:val="28"/>
          <w:szCs w:val="28"/>
          <w:lang w:val="kk-KZ" w:eastAsia="ru-RU"/>
        </w:rPr>
      </w:pPr>
    </w:p>
    <w:p w14:paraId="02E8300F"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     Ауданның климаттық тәуелділігіне байланысты, жергілікті шарттар және жыл мезгіліне байланысты немесе жер төсемесі ылғалданудың өзге де себептері қолданылады.</w:t>
      </w:r>
    </w:p>
    <w:p w14:paraId="20885A16"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     Ылғалданудың бастапқы көздері тәуелділігіне байланысты  үш сұлба есептемесінен тұрады:</w:t>
      </w:r>
    </w:p>
    <w:p w14:paraId="29F4BF09" w14:textId="77777777" w:rsidR="00B76555" w:rsidRPr="00B76555" w:rsidRDefault="00B76555" w:rsidP="00B76555">
      <w:pPr>
        <w:numPr>
          <w:ilvl w:val="0"/>
          <w:numId w:val="1"/>
        </w:num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Құрғақ жердегі су қабаттарының үстіңгі бөлігін ағынмен қамтамасыз ету керек, негіздегі сулардың терең орналасуы және жауын-шашынның аз мөлшеріне қатысты болып табылады.</w:t>
      </w:r>
    </w:p>
    <w:p w14:paraId="2D5179DD" w14:textId="77777777" w:rsidR="00B76555" w:rsidRPr="00B76555" w:rsidRDefault="00B76555" w:rsidP="00B76555">
      <w:pPr>
        <w:numPr>
          <w:ilvl w:val="0"/>
          <w:numId w:val="1"/>
        </w:num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Ылғалданудың бастапқы түріне байланысты есептеменің үш жүйесі бар.</w:t>
      </w:r>
    </w:p>
    <w:p w14:paraId="29BCD29A" w14:textId="77777777" w:rsidR="00B76555" w:rsidRPr="00B76555" w:rsidRDefault="00B76555" w:rsidP="00B76555">
      <w:pPr>
        <w:numPr>
          <w:ilvl w:val="0"/>
          <w:numId w:val="1"/>
        </w:num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а) Суағармен қамтамасыз етілген құрғақ жердегі судың үстіңгі қабаты, негіз суларының терең жатыс деңгейі және азғантай шөгіс мөлшеріне қатысты болады  .</w:t>
      </w:r>
    </w:p>
    <w:p w14:paraId="4BE82414" w14:textId="77777777" w:rsidR="00B76555" w:rsidRPr="00B76555" w:rsidRDefault="00B76555" w:rsidP="00B76555">
      <w:pPr>
        <w:spacing w:after="0" w:line="360" w:lineRule="auto"/>
        <w:ind w:left="360"/>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Мұндай жағдайдағы жер төсемесінің үстіңгі қабатында ылғалдың жиналуы теріс температура зонасында жұқа қабық ылғалдылық есептемесіне байланысты жүреді. Негіздердің тоңазуын бақылау бойынша, анықталған негізделген кері температурадағы дәлдік эмпирикалық тәуелділік бойынша анықталады:</w:t>
      </w:r>
    </w:p>
    <w:p w14:paraId="23BCEDB5" w14:textId="77777777" w:rsidR="00B76555" w:rsidRPr="00B76555" w:rsidRDefault="00B76555" w:rsidP="00B76555">
      <w:pPr>
        <w:spacing w:after="0" w:line="360" w:lineRule="auto"/>
        <w:ind w:left="360"/>
        <w:jc w:val="center"/>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15</w:t>
      </w:r>
    </w:p>
    <w:p w14:paraId="21F7F573" w14:textId="77777777" w:rsidR="00B76555" w:rsidRPr="00B76555" w:rsidRDefault="00B76555" w:rsidP="00B76555">
      <w:pPr>
        <w:spacing w:after="0" w:line="240" w:lineRule="auto"/>
        <w:ind w:left="360"/>
        <w:jc w:val="both"/>
        <w:rPr>
          <w:rFonts w:ascii="Times New Roman" w:eastAsia="Times New Roman" w:hAnsi="Times New Roman" w:cs="Times New Roman"/>
          <w:color w:val="000000"/>
          <w:sz w:val="28"/>
          <w:szCs w:val="28"/>
          <w:lang w:val="kk-KZ" w:eastAsia="ru-RU"/>
        </w:rPr>
      </w:pPr>
    </w:p>
    <w:p w14:paraId="408FF533" w14:textId="71AD2388" w:rsidR="00B76555" w:rsidRPr="00B76555" w:rsidRDefault="00B76555" w:rsidP="00B76555">
      <w:pPr>
        <w:spacing w:after="0" w:line="360" w:lineRule="auto"/>
        <w:ind w:left="720"/>
        <w:contextualSpacing/>
        <w:jc w:val="both"/>
        <w:rPr>
          <w:rFonts w:ascii="Times New Roman" w:eastAsia="Times New Roman" w:hAnsi="Times New Roman" w:cs="Times New Roman"/>
          <w:sz w:val="24"/>
          <w:szCs w:val="24"/>
          <w:lang w:val="kk-KZ" w:eastAsia="ru-RU"/>
        </w:rPr>
      </w:pPr>
      <m:oMath>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t</m:t>
            </m:r>
          </m:sub>
        </m:sSub>
        <m:r>
          <w:rPr>
            <w:rFonts w:ascii="Cambria Math" w:hAnsi="Cambria Math"/>
            <w:sz w:val="28"/>
            <w:szCs w:val="28"/>
            <w:lang w:val="kk-KZ"/>
          </w:rPr>
          <m:t>=</m:t>
        </m:r>
        <m:rad>
          <m:radPr>
            <m:degHide m:val="1"/>
            <m:ctrlPr>
              <w:rPr>
                <w:rFonts w:ascii="Cambria Math" w:hAnsi="Cambria Math"/>
                <w:i/>
                <w:sz w:val="28"/>
                <w:szCs w:val="28"/>
                <w:lang w:val="kk-KZ"/>
              </w:rPr>
            </m:ctrlPr>
          </m:radPr>
          <m:deg/>
          <m:e>
            <m:r>
              <w:rPr>
                <w:rFonts w:ascii="Cambria Math" w:hAnsi="Cambria Math"/>
                <w:sz w:val="28"/>
                <w:szCs w:val="28"/>
                <w:lang w:val="kk-KZ"/>
              </w:rPr>
              <m:t>2</m:t>
            </m:r>
            <m:sSub>
              <m:sSubPr>
                <m:ctrlPr>
                  <w:rPr>
                    <w:rFonts w:ascii="Cambria Math" w:hAnsi="Cambria Math"/>
                    <w:i/>
                    <w:sz w:val="28"/>
                    <w:szCs w:val="28"/>
                    <w:lang w:val="kk-KZ"/>
                  </w:rPr>
                </m:ctrlPr>
              </m:sSubPr>
              <m:e>
                <m:r>
                  <w:rPr>
                    <w:rFonts w:ascii="Cambria Math" w:hAnsi="Cambria Math"/>
                    <w:sz w:val="28"/>
                    <w:szCs w:val="28"/>
                    <w:lang w:val="kk-KZ"/>
                  </w:rPr>
                  <m:t>α</m:t>
                </m:r>
              </m:e>
              <m:sub>
                <m:r>
                  <w:rPr>
                    <w:rFonts w:ascii="Cambria Math" w:hAnsi="Cambria Math"/>
                    <w:sz w:val="28"/>
                    <w:szCs w:val="28"/>
                    <w:lang w:val="kk-KZ"/>
                  </w:rPr>
                  <m:t>r</m:t>
                </m:r>
              </m:sub>
            </m:sSub>
          </m:e>
        </m:rad>
        <m:r>
          <w:rPr>
            <w:rFonts w:ascii="Cambria Math" w:hAnsi="Cambria Math"/>
            <w:sz w:val="28"/>
            <w:szCs w:val="28"/>
            <w:lang w:val="kk-KZ"/>
          </w:rPr>
          <m:t>t</m:t>
        </m:r>
      </m:oMath>
      <w:r w:rsidRPr="00B76555">
        <w:rPr>
          <w:rFonts w:ascii="Times New Roman" w:eastAsia="Times New Roman" w:hAnsi="Times New Roman" w:cs="Times New Roman"/>
          <w:sz w:val="24"/>
          <w:szCs w:val="24"/>
          <w:lang w:val="kk-KZ" w:eastAsia="ru-RU"/>
        </w:rPr>
        <w:t xml:space="preserve"> ;                                                                                                (3.1)                </w:t>
      </w:r>
    </w:p>
    <w:p w14:paraId="6DBE76BF"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 б) Жеткілікті дәрежеде шөгінді мөлшері және жер төсемесіндегі күрделі суағарлары бар аудандар.</w:t>
      </w:r>
    </w:p>
    <w:p w14:paraId="3EDE79B1"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     Күз айларында  негіздің  үстіңгі қабаты ылғалмен қанығады және орташа ылғалдықтағы капиллярлы су - бағанасы түзіледі, ол ағымдағы 0,6 негіз шегінен аспайды.</w:t>
      </w:r>
    </w:p>
    <w:p w14:paraId="77EF6253" w14:textId="5CF430C8" w:rsidR="00B76555" w:rsidRPr="00B76555" w:rsidRDefault="00B76555" w:rsidP="00B76555">
      <w:pPr>
        <w:spacing w:after="0" w:line="360" w:lineRule="auto"/>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lastRenderedPageBreak/>
        <w:t xml:space="preserve"> Теріс температура аймағындағы  негіздің ылғалдануы қабықты және аспалы-капилляр суларының араласуы нәтижесінде пайда болады. Араласатын ылғал санын ұқсатық бойынша анықтайды, бірақ  негіз ылғалдылығы бастапқы капилляр ылғалдылығындағы  </w:t>
      </w:r>
      <m:oMath>
        <m:sSub>
          <m:sSubPr>
            <m:ctrlPr>
              <w:rPr>
                <w:rFonts w:ascii="Cambria Math" w:hAnsi="Cambria Math"/>
                <w:i/>
                <w:lang w:val="kk-KZ"/>
              </w:rPr>
            </m:ctrlPr>
          </m:sSubPr>
          <m:e>
            <m:r>
              <w:rPr>
                <w:rFonts w:ascii="Cambria Math" w:hAnsi="Cambria Math"/>
                <w:lang w:val="kk-KZ"/>
              </w:rPr>
              <m:t>W</m:t>
            </m:r>
          </m:e>
          <m:sub>
            <m:r>
              <w:rPr>
                <w:rFonts w:ascii="Cambria Math" w:hAnsi="Cambria Math"/>
                <w:lang w:val="kk-KZ"/>
              </w:rPr>
              <m:t>k</m:t>
            </m:r>
          </m:sub>
        </m:sSub>
      </m:oMath>
      <w:r w:rsidRPr="00B76555">
        <w:rPr>
          <w:rFonts w:ascii="Times New Roman" w:eastAsia="Times New Roman" w:hAnsi="Times New Roman" w:cs="Times New Roman"/>
          <w:color w:val="000000"/>
          <w:sz w:val="28"/>
          <w:szCs w:val="28"/>
          <w:lang w:val="kk-KZ" w:eastAsia="ru-RU"/>
        </w:rPr>
        <w:t xml:space="preserve">  молекулалы ылғал сыйымдылығын ескереді.</w:t>
      </w:r>
    </w:p>
    <w:p w14:paraId="359C00FD" w14:textId="77777777" w:rsidR="00B76555" w:rsidRPr="00B76555" w:rsidRDefault="00B76555" w:rsidP="00B76555">
      <w:pPr>
        <w:spacing w:after="0" w:line="360" w:lineRule="auto"/>
        <w:contextualSpacing/>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в)Тік құбырлары көкжиекке жақын орналасқан жергілікті жердегі негіз суларының  (тұрақты  дымқыл жерлер) сүзгіштігі тоңазу тереңдігінің артуына байланысты қысқарады:</w:t>
      </w:r>
    </w:p>
    <w:p w14:paraId="3CDEC70C" w14:textId="328EF36B" w:rsidR="00B76555" w:rsidRPr="00B76555" w:rsidRDefault="00B76555" w:rsidP="00B76555">
      <w:pPr>
        <w:spacing w:after="0" w:line="360" w:lineRule="auto"/>
        <w:ind w:left="360"/>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  </w:t>
      </w:r>
      <m:oMath>
        <m:r>
          <w:rPr>
            <w:rFonts w:ascii="Cambria Math" w:hAnsi="Cambria Math"/>
            <w:lang w:val="kk-KZ"/>
          </w:rPr>
          <m:t>L=H-</m:t>
        </m:r>
        <m:sSub>
          <m:sSubPr>
            <m:ctrlPr>
              <w:rPr>
                <w:rFonts w:ascii="Cambria Math" w:hAnsi="Cambria Math"/>
                <w:i/>
                <w:lang w:val="en-US"/>
              </w:rPr>
            </m:ctrlPr>
          </m:sSubPr>
          <m:e>
            <m:r>
              <w:rPr>
                <w:rFonts w:ascii="Cambria Math" w:hAnsi="Cambria Math"/>
                <w:lang w:val="kk-KZ"/>
              </w:rPr>
              <m:t>h</m:t>
            </m:r>
          </m:e>
          <m:sub>
            <m:r>
              <w:rPr>
                <w:rFonts w:ascii="Cambria Math" w:hAnsi="Cambria Math"/>
                <w:lang w:val="kk-KZ"/>
              </w:rPr>
              <m:t>пр</m:t>
            </m:r>
          </m:sub>
        </m:sSub>
        <m:r>
          <w:rPr>
            <w:rFonts w:ascii="Cambria Math" w:hAnsi="Cambria Math"/>
            <w:lang w:val="kk-KZ"/>
          </w:rPr>
          <m:t>=H-</m:t>
        </m:r>
        <m:rad>
          <m:radPr>
            <m:degHide m:val="1"/>
            <m:ctrlPr>
              <w:rPr>
                <w:rFonts w:ascii="Cambria Math" w:hAnsi="Cambria Math"/>
                <w:i/>
                <w:lang w:val="en-US"/>
              </w:rPr>
            </m:ctrlPr>
          </m:radPr>
          <m:deg/>
          <m:e>
            <m:r>
              <w:rPr>
                <w:rFonts w:ascii="Cambria Math" w:hAnsi="Cambria Math"/>
                <w:lang w:val="kk-KZ"/>
              </w:rPr>
              <m:t xml:space="preserve">2α-1°C </m:t>
            </m:r>
            <m:sSub>
              <m:sSubPr>
                <m:ctrlPr>
                  <w:rPr>
                    <w:rFonts w:ascii="Cambria Math" w:hAnsi="Cambria Math"/>
                    <w:i/>
                    <w:lang w:val="en-US"/>
                  </w:rPr>
                </m:ctrlPr>
              </m:sSubPr>
              <m:e>
                <m:r>
                  <w:rPr>
                    <w:rFonts w:ascii="Cambria Math" w:hAnsi="Cambria Math"/>
                    <w:lang w:val="kk-KZ"/>
                  </w:rPr>
                  <m:t>t</m:t>
                </m:r>
              </m:e>
              <m:sub>
                <m:r>
                  <w:rPr>
                    <w:rFonts w:ascii="Cambria Math" w:hAnsi="Cambria Math"/>
                    <w:lang w:val="kk-KZ"/>
                  </w:rPr>
                  <m:t xml:space="preserve">кр  </m:t>
                </m:r>
              </m:sub>
            </m:sSub>
          </m:e>
        </m:rad>
      </m:oMath>
      <w:r w:rsidRPr="00B76555">
        <w:rPr>
          <w:rFonts w:ascii="Times New Roman" w:eastAsia="Times New Roman" w:hAnsi="Times New Roman" w:cs="Times New Roman"/>
          <w:color w:val="000000"/>
          <w:sz w:val="28"/>
          <w:szCs w:val="28"/>
          <w:lang w:val="kk-KZ" w:eastAsia="ru-RU"/>
        </w:rPr>
        <w:t xml:space="preserve"> ;                                                     (3.2)</w:t>
      </w:r>
    </w:p>
    <w:p w14:paraId="4986E8BB" w14:textId="77777777" w:rsidR="00B76555" w:rsidRPr="00B76555" w:rsidRDefault="00B76555" w:rsidP="00B76555">
      <w:pPr>
        <w:spacing w:after="0" w:line="360" w:lineRule="auto"/>
        <w:ind w:left="360"/>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Мұндағы H – үстіңгі топыраққа дейінгі негіз су деңгейінің тереңдігі.</w:t>
      </w:r>
    </w:p>
    <w:p w14:paraId="579B31D0"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 Жергілікті жердің үстіне көлденең жақын орналасқан негіз сулары (үнемі дымқыл жерлер) тоңазу тереңдігінің өсуіне байланысты қысқарады. Жер төсемесінің су режимінің шарты жергілікті ауданның климат шартына және жол жағдайына тәуелді.  Климаттың құмды-негіз және аумақтағы гидрологиялық шарттардың ауқымдығының әртүрлігі жер полотнасын жобалауға кедергі келтіреді және барлық геометриялық зонадағы жол киімдерін бірыңғайлық ережесі бойынша жобалауға мүмкіндік бермейді.</w:t>
      </w:r>
    </w:p>
    <w:p w14:paraId="77D2D745"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Автокөлік жолдарын салу, климаттық ықпалдарға байланысты, ағымдағы үстіңгі жер қабатының барлық табиғи-тарихи үрдістеріне қатысады. Сондықтан КСРО аймағын бөлу барысында  жол-клиамттық зоналарда табиғи-тарихи аудандар орналасқан, өз кезегінде олар шекараны климаттық, гидрологиялық және геоморфологиялық шарты бойынша  аумақ қатарына </w:t>
      </w:r>
    </w:p>
    <w:p w14:paraId="6E9962AE" w14:textId="77777777" w:rsidR="00B76555" w:rsidRPr="00B76555" w:rsidRDefault="00B76555" w:rsidP="00B76555">
      <w:pPr>
        <w:spacing w:after="0" w:line="360" w:lineRule="auto"/>
        <w:jc w:val="center"/>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16</w:t>
      </w:r>
    </w:p>
    <w:p w14:paraId="0D6BADB7" w14:textId="77777777" w:rsidR="00B76555" w:rsidRPr="00B76555" w:rsidRDefault="00B76555" w:rsidP="00B76555">
      <w:pPr>
        <w:spacing w:after="0" w:line="240" w:lineRule="auto"/>
        <w:jc w:val="center"/>
        <w:rPr>
          <w:rFonts w:ascii="Times New Roman" w:eastAsia="Times New Roman" w:hAnsi="Times New Roman" w:cs="Times New Roman"/>
          <w:color w:val="000000"/>
          <w:sz w:val="28"/>
          <w:szCs w:val="28"/>
          <w:lang w:val="kk-KZ" w:eastAsia="ru-RU"/>
        </w:rPr>
      </w:pPr>
    </w:p>
    <w:p w14:paraId="76F40CBC"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жіктейді. Әрбір зонадағы жылу және ылғалдылы шегінің тұрақтылығына қатысты бір түрдегі топырақ және өсу қарқыны бойынша іріктеледі. </w:t>
      </w:r>
    </w:p>
    <w:p w14:paraId="0B997E8A"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Жол-климаттық  шартына сәйкес КСРО аумағы бес зонаға бөлінеді:</w:t>
      </w:r>
    </w:p>
    <w:p w14:paraId="1A981986"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І – зона, көп жылдық тоңазымайтын негіздер  (мәңгі тоңазымайтын) – Солтүстікте  Мончегорск – Поной – Несь – Ошкурья – Құрғақ Тунгуска  - Канск – КСРО  мемлекеттік шекарасы (госграница) және  Биробиджан – Де-</w:t>
      </w:r>
      <w:r w:rsidRPr="00B76555">
        <w:rPr>
          <w:rFonts w:ascii="Times New Roman" w:eastAsia="Times New Roman" w:hAnsi="Times New Roman" w:cs="Times New Roman"/>
          <w:color w:val="000000"/>
          <w:sz w:val="28"/>
          <w:szCs w:val="28"/>
          <w:lang w:val="kk-KZ" w:eastAsia="ru-RU"/>
        </w:rPr>
        <w:lastRenderedPageBreak/>
        <w:t>Кастри .  Бұл зона тундра, орман тундрасы және солтүстік-шығыс орманды</w:t>
      </w:r>
      <w:r w:rsidRPr="00B76555">
        <w:rPr>
          <w:rFonts w:ascii="Times New Roman" w:eastAsia="Times New Roman" w:hAnsi="Times New Roman" w:cs="Times New Roman"/>
          <w:color w:val="000000"/>
          <w:sz w:val="28"/>
          <w:szCs w:val="28"/>
          <w:lang w:val="kk-KZ" w:eastAsia="ru-RU"/>
        </w:rPr>
        <w:tab/>
        <w:t xml:space="preserve">  тундра зонасының бөліктерін қамтиды, яғни  мәңгі тоңазымайтын негіздер орналасқан аудандардағы негіздер үстіңгі қабатының аса ылғалдануын сипаттайды.</w:t>
      </w:r>
    </w:p>
    <w:p w14:paraId="5817F5A8"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Судың тереңге қарай енуіне, негіздің үстіңгі қабатына жақын орналасқан  тоңазыған негіз кедергі келтіреді. Жыл мезгілінің жылы уақыттарына байланысты булану аз мөлшерде жүреді.</w:t>
      </w:r>
    </w:p>
    <w:p w14:paraId="2A380EEA"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ІІ – зонаның аса артық мөлшерде ылғалдануы – келесі Оңтүстік сызықтары бойынша шектеледі Львов – Житомир – Тула – Горький – Ижевск – Қыштым – Томск –Канск және келесі аумақтар Биробиджан – Де-Кастри оңтүстікке жақынырақ орналасқан ҚХР Мемлекеттік шекарасына дейінгі аумақты қамтиды . Сонымен қатар оған Сахалин және Камчатканың оңтүстік бөлігі кіреді.  КСРО  оңтүстік шекара зонасының еуропалық бөлігі, шамамен  солтүстік   шекарадағы сұры топырақты орман және орманды ландшафт зонасына ұқсайды. Зонаның Батыс бөлігі шалшықталған Полесья шекарасын қамтиды.</w:t>
      </w:r>
    </w:p>
    <w:p w14:paraId="43A0FB87"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ІІІ – жекелеген бір мезгілдерде біршама ылғалданатын зоналар – оңтүстік сызық бойынша шектеледі Кишинев – Кировоград – Белгород – Куйбышев – Магнитогорск – Омск – Бийск –Туран. Оған сонымен қатар Кубань және Солтүстік Кавказдың Батыс бөлігі кіреді. Зонаның Оңтүстік шекарасы қара топырақ кеңінен таралған солтүстік шекарамен сәйкес келеді . Зона көктем мен күзде шалшықтана ылғалдануымен сипатталады. Зонадағы аудандардың </w:t>
      </w:r>
    </w:p>
    <w:p w14:paraId="11DE3FB0" w14:textId="77777777" w:rsidR="00B76555" w:rsidRPr="00B76555" w:rsidRDefault="00B76555" w:rsidP="00B76555">
      <w:pPr>
        <w:spacing w:after="0" w:line="360" w:lineRule="auto"/>
        <w:jc w:val="center"/>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17</w:t>
      </w:r>
    </w:p>
    <w:p w14:paraId="163E0E05" w14:textId="77777777" w:rsidR="00B76555" w:rsidRPr="00B76555" w:rsidRDefault="00B76555" w:rsidP="00B76555">
      <w:pPr>
        <w:spacing w:after="0" w:line="240" w:lineRule="auto"/>
        <w:jc w:val="center"/>
        <w:rPr>
          <w:rFonts w:ascii="Times New Roman" w:eastAsia="Times New Roman" w:hAnsi="Times New Roman" w:cs="Times New Roman"/>
          <w:color w:val="000000"/>
          <w:sz w:val="28"/>
          <w:szCs w:val="28"/>
          <w:lang w:val="kk-KZ" w:eastAsia="ru-RU"/>
        </w:rPr>
      </w:pPr>
    </w:p>
    <w:p w14:paraId="65AC8971"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әртүрлі ылғалдануының орташа коэффициенті 1-0,6 аралығында . Ылғалдану шарты тұрақсыз. Кейбір жылдарда ылғалдану жоғарылап, кейде – кері құбылыс жүреді . </w:t>
      </w:r>
    </w:p>
    <w:p w14:paraId="272193A9"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ІV – ылғалдану жеткіліксіз мөлшердегі зона -  шекараның көп бөлігін қамтиды, қара топырақты жерлер, ал оңтүстік бөлікте каштанды топырақты болып келеді. Оған Қара теңіз жағалауы және Солтүстік Кавказ жазығын жатқызуға </w:t>
      </w:r>
      <w:r w:rsidRPr="00B76555">
        <w:rPr>
          <w:rFonts w:ascii="Times New Roman" w:eastAsia="Times New Roman" w:hAnsi="Times New Roman" w:cs="Times New Roman"/>
          <w:color w:val="000000"/>
          <w:sz w:val="28"/>
          <w:szCs w:val="28"/>
          <w:lang w:val="kk-KZ" w:eastAsia="ru-RU"/>
        </w:rPr>
        <w:lastRenderedPageBreak/>
        <w:t>болады. Зонаның солтүстік бөлігі орманды жазық, Днепрдың оңтүстік жағалауы аралас орманды, оңтүстіктің солтүстік жағалауы жазық болады. Зона бірқалыпты, яғни негізідердің үстіңгі қабаты булану нәтижесінде ылғалданады және аз мөлшерде шөгеді. Ылғалдану коэффициенті 0,6-0,3 аралығын құрайды. Негіз сулары  тереңде орналасқан.</w:t>
      </w:r>
    </w:p>
    <w:p w14:paraId="4E2A8B8B"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V -  құрғақ зона – оңтүстік-шығыстағы Джульфа – Степанакерт – Буйнакск – Кизляр – Волгоград және т.б., оңтүстікке қарай 200км. Орал – Ақтөбе- Қарағанды солтүстік жағалауға қарай Балқаш өзенін қамтиды. </w:t>
      </w:r>
    </w:p>
    <w:p w14:paraId="51382278"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  Зона аз мөлшердегі ылғалдану себебінен қатты буланатындығымен сипатталады. Ылғалдану коэффициенті 0,3-0,12 аспайды, бірақ  көктем мезгілінде жасанды суландыру аймағында және негіз сулары деңгейі жоғары, тұздалған негіздер жер полотносында ылғалдану көп мөлшерде жүреді. V аумақтың жол-климаттық шарты  құрғақ  жазықты  және жартылай шөл дала зонасындағы ландшафтқа сәйкес келеді, олар каштан топырақты, кейбір бөліктері сар топырақты болып табылады .</w:t>
      </w:r>
    </w:p>
    <w:p w14:paraId="718F40AA"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 Ауданнның жол-климаты, ауданды жалпылама түрде  тек географиялық тұрғыдан сипаттайды. Жол трассасының орналасу ерекшеліктері әрбір зонада негіз шартына байланысты өзгеруі мүмкін, сондықтан жергілікті жердің гидрологиялық тобы түсінігі қолданылады. </w:t>
      </w:r>
    </w:p>
    <w:p w14:paraId="1FB0A941"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   Жолдарды рационалды жобалауда  әрдайым жағымсыз әсерлердің гидрологиялық және гидрогеологиялық факторлардың әсерін  біршама азайтуға болады.</w:t>
      </w:r>
    </w:p>
    <w:p w14:paraId="5759E0E1" w14:textId="77777777" w:rsidR="00B76555" w:rsidRPr="00B76555" w:rsidRDefault="00B76555" w:rsidP="00B76555">
      <w:pPr>
        <w:spacing w:after="0" w:line="360" w:lineRule="auto"/>
        <w:jc w:val="center"/>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18</w:t>
      </w:r>
    </w:p>
    <w:p w14:paraId="2E14EF68" w14:textId="77777777" w:rsidR="00B76555" w:rsidRPr="00B76555" w:rsidRDefault="00B76555" w:rsidP="00B76555">
      <w:pPr>
        <w:spacing w:after="0" w:line="240" w:lineRule="auto"/>
        <w:jc w:val="center"/>
        <w:rPr>
          <w:rFonts w:ascii="Times New Roman" w:eastAsia="Times New Roman" w:hAnsi="Times New Roman" w:cs="Times New Roman"/>
          <w:color w:val="000000"/>
          <w:sz w:val="28"/>
          <w:szCs w:val="28"/>
          <w:lang w:val="kk-KZ" w:eastAsia="ru-RU"/>
        </w:rPr>
      </w:pPr>
    </w:p>
    <w:p w14:paraId="7431302F"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Бірақ бұл құрылысқа кететін шығынды техника-экономикалық есептеме нұсқаларымен есептеуді  қажет етеді.</w:t>
      </w:r>
    </w:p>
    <w:p w14:paraId="1E127F40"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  Жол трассасы аумағы ылғалдану шартына байланысты үш түрге жіктеледі:</w:t>
      </w:r>
    </w:p>
    <w:p w14:paraId="46A87D9C" w14:textId="77777777" w:rsidR="00B76555" w:rsidRPr="00B76555" w:rsidRDefault="00B76555" w:rsidP="00B76555">
      <w:pPr>
        <w:numPr>
          <w:ilvl w:val="0"/>
          <w:numId w:val="2"/>
        </w:num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Артық ылғалдану жүрмейтін құрғақ жерлер, оларға суқұбырымен қамтамасыз етілген шалшықтану белгілері жоқ  аумақты жатқызуға болады. Күзде тоңазу алдында негіз суларының деңгейі есептелген </w:t>
      </w:r>
      <w:r w:rsidRPr="00B76555">
        <w:rPr>
          <w:rFonts w:ascii="Times New Roman" w:eastAsia="Times New Roman" w:hAnsi="Times New Roman" w:cs="Times New Roman"/>
          <w:color w:val="000000"/>
          <w:sz w:val="28"/>
          <w:szCs w:val="28"/>
          <w:lang w:val="kk-KZ" w:eastAsia="ru-RU"/>
        </w:rPr>
        <w:lastRenderedPageBreak/>
        <w:t xml:space="preserve">тоңазу  тереңдігінен шамамен балшықта </w:t>
      </w:r>
      <w:smartTag w:uri="urn:schemas-microsoft-com:office:smarttags" w:element="metricconverter">
        <w:smartTagPr>
          <w:attr w:name="ProductID" w:val="2,5 м"/>
        </w:smartTagPr>
        <w:r w:rsidRPr="00B76555">
          <w:rPr>
            <w:rFonts w:ascii="Times New Roman" w:eastAsia="Times New Roman" w:hAnsi="Times New Roman" w:cs="Times New Roman"/>
            <w:color w:val="000000"/>
            <w:sz w:val="28"/>
            <w:szCs w:val="28"/>
            <w:lang w:val="kk-KZ" w:eastAsia="ru-RU"/>
          </w:rPr>
          <w:t>2,5 м</w:t>
        </w:r>
      </w:smartTag>
      <w:r w:rsidRPr="00B76555">
        <w:rPr>
          <w:rFonts w:ascii="Times New Roman" w:eastAsia="Times New Roman" w:hAnsi="Times New Roman" w:cs="Times New Roman"/>
          <w:color w:val="000000"/>
          <w:sz w:val="28"/>
          <w:szCs w:val="28"/>
          <w:lang w:val="kk-KZ" w:eastAsia="ru-RU"/>
        </w:rPr>
        <w:t xml:space="preserve">, ауыр және шаңды саздарда, 1,5 жеңіл саздарда ауыр және шаңды топырақта </w:t>
      </w:r>
      <w:smartTag w:uri="urn:schemas-microsoft-com:office:smarttags" w:element="metricconverter">
        <w:smartTagPr>
          <w:attr w:name="ProductID" w:val="1 м"/>
        </w:smartTagPr>
        <w:r w:rsidRPr="00B76555">
          <w:rPr>
            <w:rFonts w:ascii="Times New Roman" w:eastAsia="Times New Roman" w:hAnsi="Times New Roman" w:cs="Times New Roman"/>
            <w:color w:val="000000"/>
            <w:sz w:val="28"/>
            <w:szCs w:val="28"/>
            <w:lang w:val="kk-KZ" w:eastAsia="ru-RU"/>
          </w:rPr>
          <w:t>1 м</w:t>
        </w:r>
      </w:smartTag>
      <w:r w:rsidRPr="00B76555">
        <w:rPr>
          <w:rFonts w:ascii="Times New Roman" w:eastAsia="Times New Roman" w:hAnsi="Times New Roman" w:cs="Times New Roman"/>
          <w:color w:val="000000"/>
          <w:sz w:val="28"/>
          <w:szCs w:val="28"/>
          <w:lang w:val="kk-KZ" w:eastAsia="ru-RU"/>
        </w:rPr>
        <w:t xml:space="preserve"> аспауы керек. Мұндай тереңдікте орналасқандықтан, олар негіздің үстіңгі қабатының ылғалдануына ықпал етпейді.</w:t>
      </w:r>
    </w:p>
    <w:p w14:paraId="48E7AED3" w14:textId="77777777" w:rsidR="00B76555" w:rsidRPr="00B76555" w:rsidRDefault="00B76555" w:rsidP="00B76555">
      <w:pPr>
        <w:numPr>
          <w:ilvl w:val="0"/>
          <w:numId w:val="2"/>
        </w:num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Дымқыл орындар суқұбырымен  және  тоқтап қалған сулар көктемде және күзде, олар негіз суларының ылғалдануына әсер етпейді. Бұл түрге үстіңгі беті шалшықталған топырақтар (қазаншұңқырлар және т.б жатады)</w:t>
      </w:r>
    </w:p>
    <w:p w14:paraId="7B2AB6BB" w14:textId="77777777" w:rsidR="00B76555" w:rsidRPr="00B76555" w:rsidRDefault="00B76555" w:rsidP="00B76555">
      <w:pPr>
        <w:numPr>
          <w:ilvl w:val="0"/>
          <w:numId w:val="2"/>
        </w:num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Су жерлерге тұрақты түрде артық мөлшерде ылғалданатын жерлер жатады. Негіздердің үстіңгі қабатына жақын орналасқан сулар есебінен тұрақты түрде ылғалданады немесе ұзақ уақыт аралығында іркіліп топырақ бетінде тоқтап тұрады (20 тәулік) . Шымтезекті топырақ, шалшықтану белгілері бар топырақ. Дәл осы түрге жергілікті жердің сортаң және тұрақты түрде суландырылған шекарадағы құрғауға бейім зоналарын жатқызуға болады.</w:t>
      </w:r>
    </w:p>
    <w:p w14:paraId="30B11B38"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Ажырайтын немесе әлсіз жыралардағы еңістердің құрылуын жинақтау белгілі бір ғимарат аудандағы кернеуге тәуелді және үлкен көлемді тасқын сулары жол полотнасына жиналады. Соңғы айтылғандар жалпы су ағынының жалпы көлемін құрайды.  Ғимарат алдындағы  су жиынтығы төмен деңгейде артады  және  әдетте ол аса биік болмайды, яғни  ағын дәлдігі үлкен ағындағы секунд жиынтығының тепе-теңдігін қамтамасыз етеді. Ғимарат саңылауындағы су шығыны  көптеген жағдайларда  бассейннің есептік </w:t>
      </w:r>
    </w:p>
    <w:p w14:paraId="156E13C8" w14:textId="77777777" w:rsidR="00B76555" w:rsidRPr="00B76555" w:rsidRDefault="00B76555" w:rsidP="00B76555">
      <w:pPr>
        <w:spacing w:after="0" w:line="360" w:lineRule="auto"/>
        <w:jc w:val="center"/>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19</w:t>
      </w:r>
    </w:p>
    <w:p w14:paraId="3AF98A5E" w14:textId="77777777" w:rsidR="00B76555" w:rsidRPr="00B76555" w:rsidRDefault="00B76555" w:rsidP="00B76555">
      <w:pPr>
        <w:spacing w:after="0" w:line="240" w:lineRule="auto"/>
        <w:jc w:val="center"/>
        <w:rPr>
          <w:rFonts w:ascii="Times New Roman" w:eastAsia="Times New Roman" w:hAnsi="Times New Roman" w:cs="Times New Roman"/>
          <w:color w:val="000000"/>
          <w:sz w:val="28"/>
          <w:szCs w:val="28"/>
          <w:lang w:val="kk-KZ" w:eastAsia="ru-RU"/>
        </w:rPr>
      </w:pPr>
    </w:p>
    <w:p w14:paraId="123E0028" w14:textId="77777777" w:rsidR="00B76555" w:rsidRPr="00B76555" w:rsidRDefault="00B76555" w:rsidP="00B76555">
      <w:pPr>
        <w:spacing w:after="0" w:line="360" w:lineRule="auto"/>
        <w:jc w:val="both"/>
        <w:rPr>
          <w:rFonts w:ascii="Times New Roman" w:eastAsia="Times New Roman" w:hAnsi="Times New Roman" w:cs="Times New Roman"/>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шығынынан көп мөлшерде аз болады. Мұндай жағдайда су аккумуляциясын ғимарат саңылауының биіктігін анықтау барысында есепке алу керек.</w:t>
      </w:r>
    </w:p>
    <w:p w14:paraId="6F98C75C" w14:textId="5F23FF8C" w:rsidR="00B76555" w:rsidRPr="00B76555" w:rsidRDefault="00B76555" w:rsidP="00B76555">
      <w:pPr>
        <w:spacing w:after="0" w:line="360" w:lineRule="auto"/>
        <w:jc w:val="both"/>
        <w:rPr>
          <w:rFonts w:ascii="Times New Roman" w:eastAsia="Times New Roman" w:hAnsi="Times New Roman" w:cs="Times New Roman"/>
          <w:i/>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     Айтылғандар бойынша, аккумуляцияны анықтамайынша есептеуге болмайды, қандай ағын түрі ғимарат үшін қауіпті болатынын анықтау қиын болып есептеледі. Сонымен, қар еріген суларының ағыны, тасқынды сулармен </w:t>
      </w:r>
      <w:r w:rsidRPr="00B76555">
        <w:rPr>
          <w:rFonts w:ascii="Times New Roman" w:eastAsia="Times New Roman" w:hAnsi="Times New Roman" w:cs="Times New Roman"/>
          <w:color w:val="000000"/>
          <w:sz w:val="28"/>
          <w:szCs w:val="28"/>
          <w:lang w:val="kk-KZ" w:eastAsia="ru-RU"/>
        </w:rPr>
        <w:lastRenderedPageBreak/>
        <w:t xml:space="preserve">салыстырғанда аз болып табылады, яғни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r</m:t>
            </m:r>
          </m:sub>
        </m:sSub>
        <m:r>
          <w:rPr>
            <w:rFonts w:ascii="Cambria Math" w:hAnsi="Cambria Math"/>
            <w:sz w:val="28"/>
            <w:szCs w:val="28"/>
            <w:lang w:val="kk-KZ"/>
          </w:rPr>
          <m:t xml:space="preserve">&lt; </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л</m:t>
            </m:r>
          </m:sub>
        </m:sSub>
      </m:oMath>
      <w:r w:rsidRPr="00B76555">
        <w:rPr>
          <w:rFonts w:ascii="Times New Roman" w:eastAsia="Times New Roman" w:hAnsi="Times New Roman" w:cs="Times New Roman"/>
          <w:color w:val="000000"/>
          <w:sz w:val="28"/>
          <w:szCs w:val="28"/>
          <w:lang w:val="kk-KZ" w:eastAsia="ru-RU"/>
        </w:rPr>
        <w:t xml:space="preserve">, егер қар еріген суларының қатынасы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t</m:t>
            </m:r>
          </m:sub>
        </m:sSub>
        <m:r>
          <w:rPr>
            <w:rFonts w:ascii="Cambria Math" w:hAnsi="Cambria Math"/>
            <w:sz w:val="28"/>
            <w:szCs w:val="28"/>
            <w:lang w:val="kk-KZ"/>
          </w:rPr>
          <m:t>&gt;</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c</m:t>
            </m:r>
          </m:sub>
        </m:sSub>
        <m:r>
          <w:rPr>
            <w:rFonts w:ascii="Cambria Math" w:hAnsi="Cambria Math"/>
            <w:sz w:val="28"/>
            <w:szCs w:val="28"/>
            <w:lang w:val="kk-KZ"/>
          </w:rPr>
          <m:t>&lt;</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л</m:t>
            </m:r>
          </m:sub>
        </m:sSub>
      </m:oMath>
      <w:r w:rsidRPr="00B76555">
        <w:rPr>
          <w:rFonts w:ascii="Times New Roman" w:eastAsia="Times New Roman" w:hAnsi="Times New Roman" w:cs="Times New Roman"/>
          <w:color w:val="000000"/>
          <w:sz w:val="28"/>
          <w:szCs w:val="28"/>
          <w:lang w:val="kk-KZ" w:eastAsia="ru-RU"/>
        </w:rPr>
        <w:t xml:space="preserve"> болса, мұндай ағындар аса қауіпті болып</w:t>
      </w:r>
    </w:p>
    <w:p w14:paraId="5325038A" w14:textId="2E70EFFB" w:rsidR="00B76555" w:rsidRPr="00B76555" w:rsidRDefault="00B76555" w:rsidP="00B76555">
      <w:pPr>
        <w:spacing w:after="0" w:line="360" w:lineRule="auto"/>
        <w:jc w:val="both"/>
        <w:rPr>
          <w:rFonts w:ascii="Times New Roman" w:eastAsia="Times New Roman" w:hAnsi="Times New Roman" w:cs="Times New Roman"/>
          <w:i/>
          <w:color w:val="000000"/>
          <w:sz w:val="28"/>
          <w:szCs w:val="28"/>
          <w:lang w:val="kk-KZ" w:eastAsia="ru-RU"/>
        </w:rPr>
      </w:pPr>
      <w:r w:rsidRPr="00B76555">
        <w:rPr>
          <w:rFonts w:ascii="Times New Roman" w:eastAsia="Times New Roman" w:hAnsi="Times New Roman" w:cs="Times New Roman"/>
          <w:color w:val="000000"/>
          <w:sz w:val="28"/>
          <w:szCs w:val="28"/>
          <w:lang w:val="kk-KZ" w:eastAsia="ru-RU"/>
        </w:rPr>
        <w:t xml:space="preserve">саналады. Осыған байланысты әртүрлі максималды шығыстарды есептей отырып, ғимарат саңылауының есептемесін жүргізу керек қар еріген суларының қатынасы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c</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t</m:t>
            </m:r>
          </m:sub>
        </m:sSub>
      </m:oMath>
      <w:r w:rsidRPr="00B76555">
        <w:rPr>
          <w:rFonts w:ascii="Times New Roman" w:eastAsia="Times New Roman" w:hAnsi="Times New Roman" w:cs="Times New Roman"/>
          <w:color w:val="000000"/>
          <w:sz w:val="28"/>
          <w:szCs w:val="28"/>
          <w:lang w:val="kk-KZ" w:eastAsia="ru-RU"/>
        </w:rPr>
        <w:t xml:space="preserve"> және аккумуляция есептемесіндегі тасқын сулары, яғни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c</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л</m:t>
            </m:r>
          </m:sub>
        </m:sSub>
      </m:oMath>
      <w:r w:rsidRPr="00B76555">
        <w:rPr>
          <w:rFonts w:ascii="Times New Roman" w:eastAsia="Times New Roman" w:hAnsi="Times New Roman" w:cs="Times New Roman"/>
          <w:color w:val="000000"/>
          <w:sz w:val="28"/>
          <w:szCs w:val="28"/>
          <w:lang w:val="kk-KZ" w:eastAsia="ru-RU"/>
        </w:rPr>
        <w:t>, ол төменде көрсетілген. Мөлшері екіден көп саңылауы бар ғимарат, жобалау барысында қолдануға жарамды болып табылады.</w:t>
      </w:r>
    </w:p>
    <w:p w14:paraId="5A63C1FE" w14:textId="77777777" w:rsidR="00674724" w:rsidRPr="00B76555" w:rsidRDefault="00674724">
      <w:pPr>
        <w:rPr>
          <w:lang w:val="kk-KZ"/>
        </w:rPr>
      </w:pPr>
    </w:p>
    <w:sectPr w:rsidR="00674724" w:rsidRPr="00B7655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AF2D04"/>
    <w:multiLevelType w:val="multilevel"/>
    <w:tmpl w:val="826A944A"/>
    <w:lvl w:ilvl="0">
      <w:start w:val="1"/>
      <w:numFmt w:val="decimal"/>
      <w:lvlText w:val="%1."/>
      <w:lvlJc w:val="left"/>
      <w:pPr>
        <w:ind w:left="720" w:hanging="360"/>
      </w:pPr>
      <w:rPr>
        <w:rFonts w:hint="default"/>
      </w:rPr>
    </w:lvl>
    <w:lvl w:ilvl="1">
      <w:start w:val="4"/>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 w15:restartNumberingAfterBreak="0">
    <w:nsid w:val="6C82143E"/>
    <w:multiLevelType w:val="hybridMultilevel"/>
    <w:tmpl w:val="AABA3AC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8DE"/>
    <w:rsid w:val="001528DE"/>
    <w:rsid w:val="00674724"/>
    <w:rsid w:val="00B76555"/>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F9BC63C2-0578-4D2A-BD3B-988A3BED4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1601</Words>
  <Characters>9127</Characters>
  <Application>Microsoft Office Word</Application>
  <DocSecurity>0</DocSecurity>
  <Lines>76</Lines>
  <Paragraphs>21</Paragraphs>
  <ScaleCrop>false</ScaleCrop>
  <Company/>
  <LinksUpToDate>false</LinksUpToDate>
  <CharactersWithSpaces>10707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2021-11-14T14:05:00Z</dcterms:created>
  <dcterms:modified xsi:type="dcterms:W3CDTF">2021-11-14T14:05:00Z</dcterms:modified>
</cp:coreProperties>
</file>